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32"/>
          <w:szCs w:val="32"/>
          <w:highlight w:val="none"/>
        </w:rPr>
      </w:pPr>
      <w:bookmarkStart w:id="0" w:name="OLE_LINK1"/>
      <w:r>
        <w:rPr>
          <w:rFonts w:hint="eastAsia" w:ascii="宋体" w:hAnsi="宋体" w:eastAsia="宋体" w:cs="宋体"/>
          <w:b/>
          <w:color w:val="auto"/>
          <w:sz w:val="32"/>
          <w:szCs w:val="32"/>
          <w:highlight w:val="none"/>
        </w:rPr>
        <w:t xml:space="preserve">第二章    投标人须知  </w:t>
      </w:r>
    </w:p>
    <w:bookmarkEnd w:id="0"/>
    <w:p>
      <w:pPr>
        <w:spacing w:line="360" w:lineRule="auto"/>
        <w:jc w:val="center"/>
        <w:rPr>
          <w:rFonts w:hint="eastAsia" w:ascii="宋体" w:hAnsi="宋体" w:eastAsia="宋体" w:cs="宋体"/>
          <w:b/>
          <w:color w:val="auto"/>
          <w:sz w:val="32"/>
          <w:szCs w:val="32"/>
          <w:highlight w:val="none"/>
        </w:rPr>
      </w:pPr>
      <w:bookmarkStart w:id="14" w:name="_GoBack"/>
      <w:bookmarkEnd w:id="14"/>
      <w:r>
        <w:rPr>
          <w:rFonts w:hint="eastAsia" w:ascii="宋体" w:hAnsi="宋体" w:eastAsia="宋体" w:cs="宋体"/>
          <w:b/>
          <w:color w:val="auto"/>
          <w:sz w:val="32"/>
          <w:szCs w:val="32"/>
          <w:highlight w:val="none"/>
        </w:rPr>
        <w:t xml:space="preserve">一、  说明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经审计的上一年度的年度财务报告（投标人上一年度的财务报告尚未完成编制且投标截止时间在每年1月1日至4月30日的，可提供上上年度经审计的年度财务报告。）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财务状况报告指“四表一注”，即资产负债表、利润表、现金流量表、所有者权益变动表及其附注，或基本开户银行出具的资信证明。</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明其依法免税或不需要缴纳社会保障资金。根据《财政部关于印发&lt;小企业会计准则&gt;的通知》（财会〔2011〕17号）的规定，小企业的财务报表包括资产负债表、利润表、现金流量表及其附注，可以不含所有者权益变动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（3）具备履行合同所必需的设备和专业技术能力的证明材料。</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（4）参加政府采购活动前3年内在经营活动中没有重大违法记录的书面声明；投标人自行对其有无行贿犯罪情形进行书面说明或书面承诺。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（5）具备法律、行政法规规定的其他条件的证明材料。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w:t>
      </w:r>
      <w:r>
        <w:rPr>
          <w:rFonts w:hint="eastAsia" w:ascii="宋体" w:hAnsi="宋体" w:eastAsia="宋体" w:cs="宋体"/>
          <w:b/>
          <w:color w:val="auto"/>
          <w:sz w:val="24"/>
          <w:szCs w:val="24"/>
          <w:highlight w:val="none"/>
        </w:rPr>
        <w:t>利害关系的人</w:t>
      </w:r>
      <w:r>
        <w:rPr>
          <w:rFonts w:hint="eastAsia" w:ascii="宋体" w:hAnsi="宋体" w:eastAsia="宋体" w:cs="宋体"/>
          <w:b/>
          <w:color w:val="auto"/>
          <w:sz w:val="24"/>
          <w:szCs w:val="24"/>
          <w:highlight w:val="none"/>
        </w:rPr>
        <w:t>携带两个以上（含两个）投标人的企业资料参与资格审查、领取招标资料，或代表两个以上（含两个）投标人参加招标答疑会、交纳或退还投标保证金、开标的；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pPr>
        <w:spacing w:line="360" w:lineRule="auto"/>
        <w:rPr>
          <w:rFonts w:hint="eastAsia" w:ascii="宋体" w:hAnsi="宋体" w:eastAsia="宋体" w:cs="宋体"/>
          <w:color w:val="auto"/>
          <w:sz w:val="24"/>
          <w:szCs w:val="24"/>
          <w:highlight w:val="none"/>
        </w:rPr>
      </w:pPr>
      <w:bookmarkStart w:id="1" w:name="_Toc415567497"/>
      <w:bookmarkStart w:id="2" w:name="_Toc430488644"/>
      <w:bookmarkStart w:id="3" w:name="_Toc430489119"/>
      <w:bookmarkStart w:id="4" w:name="_Toc430422413"/>
      <w:bookmarkStart w:id="5" w:name="_Toc430492126"/>
      <w:bookmarkStart w:id="6" w:name="_Toc430490612"/>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pPr>
        <w:pStyle w:val="5"/>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pPr>
        <w:pStyle w:val="5"/>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13.4投标人应提交证明其拟供货物（服务）符合招标文件要求的技术响应文件，该文件可以是文字资料、图纸和数据，并须提供货物（服务）主要技术性能的详细描述。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确认后，招标代理机构应自中标供应商确定之日起2个工作日内在《中国政府采购网》上对中标结果进行公告，同时招标代理机构向中标供应商发出中标通知书。中标通知书对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pPr>
        <w:pStyle w:val="5"/>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5"/>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pPr>
        <w:pStyle w:val="15"/>
        <w:spacing w:line="360" w:lineRule="auto"/>
        <w:rPr>
          <w:rFonts w:hint="eastAsia" w:hAnsi="宋体" w:eastAsia="宋体" w:cs="宋体"/>
          <w:color w:val="auto"/>
          <w:sz w:val="24"/>
          <w:szCs w:val="24"/>
          <w:highlight w:val="none"/>
        </w:rPr>
      </w:pPr>
    </w:p>
    <w:p>
      <w:pPr>
        <w:pStyle w:val="15"/>
        <w:spacing w:line="360" w:lineRule="auto"/>
        <w:rPr>
          <w:rFonts w:hint="eastAsia" w:hAnsi="宋体" w:eastAsia="宋体" w:cs="宋体"/>
          <w:color w:val="auto"/>
          <w:sz w:val="24"/>
          <w:szCs w:val="24"/>
          <w:highlight w:val="none"/>
        </w:rPr>
      </w:pPr>
    </w:p>
    <w:p>
      <w:pPr>
        <w:pStyle w:val="15"/>
        <w:spacing w:line="360" w:lineRule="auto"/>
        <w:rPr>
          <w:rFonts w:hint="eastAsia" w:hAnsi="宋体" w:eastAsia="宋体" w:cs="宋体"/>
          <w:color w:val="auto"/>
          <w:sz w:val="24"/>
          <w:szCs w:val="24"/>
          <w:highlight w:val="none"/>
        </w:rPr>
      </w:pPr>
    </w:p>
    <w:p>
      <w:pPr>
        <w:pStyle w:val="15"/>
        <w:spacing w:line="360" w:lineRule="auto"/>
        <w:rPr>
          <w:rFonts w:hint="eastAsia" w:hAnsi="宋体" w:eastAsia="宋体" w:cs="宋体"/>
          <w:color w:val="auto"/>
          <w:sz w:val="24"/>
          <w:szCs w:val="24"/>
          <w:highlight w:val="none"/>
        </w:rPr>
      </w:pPr>
    </w:p>
    <w:p>
      <w:pPr>
        <w:pStyle w:val="15"/>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0"/>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pPr>
        <w:spacing w:line="360" w:lineRule="auto"/>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pPr>
        <w:pStyle w:val="16"/>
        <w:spacing w:line="360" w:lineRule="auto"/>
        <w:jc w:val="left"/>
        <w:rPr>
          <w:rFonts w:hint="eastAsia" w:hAnsi="宋体" w:eastAsia="宋体" w:cs="宋体"/>
          <w:b/>
          <w:color w:val="auto"/>
          <w:sz w:val="24"/>
          <w:szCs w:val="24"/>
          <w:highlight w:val="none"/>
        </w:rPr>
      </w:pPr>
    </w:p>
    <w:p>
      <w:pPr>
        <w:pStyle w:val="16"/>
        <w:spacing w:line="360" w:lineRule="auto"/>
        <w:jc w:val="left"/>
        <w:rPr>
          <w:rFonts w:hint="eastAsia" w:hAnsi="宋体" w:eastAsia="宋体" w:cs="宋体"/>
          <w:b/>
          <w:color w:val="auto"/>
          <w:sz w:val="24"/>
          <w:szCs w:val="24"/>
          <w:highlight w:val="none"/>
        </w:rPr>
      </w:pPr>
    </w:p>
    <w:p>
      <w:pPr>
        <w:pStyle w:val="16"/>
        <w:spacing w:line="360" w:lineRule="auto"/>
        <w:jc w:val="left"/>
        <w:rPr>
          <w:rFonts w:hint="eastAsia" w:hAnsi="宋体" w:eastAsia="宋体" w:cs="宋体"/>
          <w:b/>
          <w:color w:val="auto"/>
          <w:sz w:val="24"/>
          <w:szCs w:val="24"/>
          <w:highlight w:val="none"/>
        </w:rPr>
      </w:pPr>
    </w:p>
    <w:p>
      <w:pPr>
        <w:pStyle w:val="5"/>
        <w:snapToGrid w:val="0"/>
        <w:spacing w:line="360" w:lineRule="auto"/>
        <w:ind w:firstLine="660" w:firstLineChars="275"/>
        <w:rPr>
          <w:rFonts w:hint="eastAsia" w:ascii="宋体" w:hAnsi="宋体" w:eastAsia="宋体" w:cs="宋体"/>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center"/>
        <w:rPr>
          <w:rFonts w:hint="eastAsia" w:hAnsi="宋体" w:eastAsia="宋体" w:cs="宋体"/>
          <w:b/>
          <w:color w:val="auto"/>
          <w:sz w:val="24"/>
          <w:szCs w:val="24"/>
          <w:highlight w:val="none"/>
        </w:rPr>
      </w:pPr>
    </w:p>
    <w:p>
      <w:pPr>
        <w:pStyle w:val="16"/>
        <w:spacing w:line="360" w:lineRule="auto"/>
        <w:jc w:val="center"/>
        <w:rPr>
          <w:rFonts w:hint="eastAsia" w:hAnsi="宋体" w:eastAsia="宋体" w:cs="宋体"/>
          <w:b/>
          <w:color w:val="auto"/>
          <w:sz w:val="24"/>
          <w:szCs w:val="24"/>
          <w:highlight w:val="none"/>
        </w:rPr>
      </w:pPr>
    </w:p>
    <w:p>
      <w:pPr>
        <w:pStyle w:val="16"/>
        <w:spacing w:line="360" w:lineRule="auto"/>
        <w:jc w:val="center"/>
        <w:rPr>
          <w:rFonts w:hint="eastAsia" w:hAnsi="宋体" w:eastAsia="宋体" w:cs="宋体"/>
          <w:b/>
          <w:color w:val="auto"/>
          <w:sz w:val="24"/>
          <w:szCs w:val="24"/>
          <w:highlight w:val="none"/>
        </w:rPr>
      </w:pPr>
    </w:p>
    <w:p>
      <w:pPr>
        <w:pStyle w:val="16"/>
        <w:spacing w:line="360" w:lineRule="auto"/>
        <w:jc w:val="center"/>
        <w:rPr>
          <w:rFonts w:hint="eastAsia" w:hAnsi="宋体" w:eastAsia="宋体" w:cs="宋体"/>
          <w:b/>
          <w:color w:val="auto"/>
          <w:sz w:val="24"/>
          <w:szCs w:val="24"/>
          <w:highlight w:val="none"/>
        </w:rPr>
      </w:pPr>
    </w:p>
    <w:p>
      <w:pPr>
        <w:pStyle w:val="16"/>
        <w:spacing w:line="360" w:lineRule="auto"/>
        <w:jc w:val="center"/>
        <w:rPr>
          <w:rFonts w:hint="eastAsia" w:hAnsi="宋体" w:eastAsia="宋体" w:cs="宋体"/>
          <w:b/>
          <w:color w:val="auto"/>
          <w:sz w:val="24"/>
          <w:szCs w:val="24"/>
          <w:highlight w:val="none"/>
        </w:rPr>
      </w:pPr>
    </w:p>
    <w:p>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pPr>
        <w:pStyle w:val="16"/>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10"/>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pPr>
              <w:spacing w:line="360" w:lineRule="auto"/>
              <w:jc w:val="center"/>
              <w:rPr>
                <w:rFonts w:hint="eastAsia" w:ascii="宋体" w:hAnsi="宋体" w:eastAsia="宋体" w:cs="宋体"/>
                <w:bCs/>
                <w:color w:val="auto"/>
                <w:sz w:val="24"/>
                <w:szCs w:val="24"/>
                <w:highlight w:val="none"/>
              </w:rPr>
            </w:pPr>
          </w:p>
        </w:tc>
      </w:tr>
    </w:tbl>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t>按货物的不同规格型号详细分项报价，</w:t>
      </w:r>
      <w:r>
        <w:rPr>
          <w:rFonts w:hint="eastAsia" w:ascii="宋体" w:hAnsi="宋体" w:eastAsia="宋体" w:cs="宋体"/>
          <w:color w:val="auto"/>
          <w:sz w:val="24"/>
          <w:szCs w:val="24"/>
          <w:highlight w:val="none"/>
        </w:rPr>
        <w:t>若未详细分项报价将被视为没有实质性响应招标文件。</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pPr>
        <w:pStyle w:val="16"/>
        <w:spacing w:line="360" w:lineRule="auto"/>
        <w:jc w:val="left"/>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p>
    <w:p>
      <w:pPr>
        <w:pStyle w:val="16"/>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pStyle w:val="16"/>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pPr>
        <w:pStyle w:val="16"/>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0"/>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pPr>
        <w:pStyle w:val="16"/>
        <w:spacing w:line="360" w:lineRule="auto"/>
        <w:rPr>
          <w:rFonts w:hint="eastAsia" w:hAnsi="宋体" w:eastAsia="宋体" w:cs="宋体"/>
          <w:color w:val="auto"/>
          <w:sz w:val="24"/>
          <w:szCs w:val="24"/>
          <w:highlight w:val="none"/>
        </w:rPr>
      </w:pP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pPr>
        <w:spacing w:line="360" w:lineRule="auto"/>
        <w:ind w:firstLine="480" w:firstLineChars="200"/>
        <w:rPr>
          <w:rFonts w:hint="eastAsia" w:ascii="宋体" w:hAnsi="宋体" w:eastAsia="宋体" w:cs="宋体"/>
          <w:bCs/>
          <w:color w:val="auto"/>
          <w:sz w:val="24"/>
          <w:szCs w:val="24"/>
          <w:highlight w:val="none"/>
        </w:rPr>
      </w:pPr>
    </w:p>
    <w:p>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bCs/>
          <w:color w:val="auto"/>
          <w:sz w:val="24"/>
          <w:szCs w:val="24"/>
          <w:highlight w:val="none"/>
        </w:rPr>
      </w:pPr>
    </w:p>
    <w:p>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rPr>
        <w:t>　（5）近三年内，在经营活动中没有重大违法记录。</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p>
    <w:p>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pPr>
        <w:pStyle w:val="16"/>
        <w:spacing w:line="360" w:lineRule="auto"/>
        <w:jc w:val="center"/>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pPr>
        <w:spacing w:line="360" w:lineRule="auto"/>
        <w:rPr>
          <w:rFonts w:hint="eastAsia" w:ascii="宋体" w:hAnsi="宋体" w:eastAsia="宋体" w:cs="宋体"/>
          <w:color w:val="auto"/>
          <w:sz w:val="24"/>
          <w:szCs w:val="24"/>
          <w:highlight w:val="none"/>
        </w:rPr>
      </w:pPr>
    </w:p>
    <w:p>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投标人提交的其它资料</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参加政府采购活动前3年内在经营活动中没有重大违法记录的书面声明；投标人自行对其有无行贿犯罪情形进行书面说明或书面承诺。</w:t>
      </w:r>
    </w:p>
    <w:p>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投标人认为应提交的其他材料, 可在此附件中提交。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6"/>
        <w:snapToGrid w:val="0"/>
        <w:spacing w:line="360" w:lineRule="auto"/>
        <w:jc w:val="left"/>
        <w:rPr>
          <w:rFonts w:hint="eastAsia" w:hAnsi="宋体" w:eastAsia="宋体" w:cs="宋体"/>
          <w:color w:val="auto"/>
          <w:sz w:val="24"/>
          <w:szCs w:val="24"/>
          <w:highlight w:val="none"/>
        </w:rPr>
      </w:pPr>
    </w:p>
    <w:p>
      <w:pPr>
        <w:pStyle w:val="6"/>
        <w:snapToGrid w:val="0"/>
        <w:spacing w:line="360" w:lineRule="auto"/>
        <w:jc w:val="left"/>
        <w:rPr>
          <w:rFonts w:hint="eastAsia" w:hAnsi="宋体" w:eastAsia="宋体" w:cs="宋体"/>
          <w:color w:val="auto"/>
          <w:sz w:val="24"/>
          <w:szCs w:val="24"/>
          <w:highlight w:val="none"/>
        </w:rPr>
      </w:pPr>
    </w:p>
    <w:p>
      <w:pPr>
        <w:pStyle w:val="6"/>
        <w:snapToGrid w:val="0"/>
        <w:spacing w:line="360" w:lineRule="auto"/>
        <w:jc w:val="left"/>
        <w:rPr>
          <w:rFonts w:hint="eastAsia" w:hAnsi="宋体" w:eastAsia="宋体" w:cs="宋体"/>
          <w:color w:val="auto"/>
          <w:sz w:val="24"/>
          <w:szCs w:val="24"/>
          <w:highlight w:val="none"/>
        </w:rPr>
      </w:pPr>
    </w:p>
    <w:p>
      <w:pPr>
        <w:pStyle w:val="16"/>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14" w:charSpace="0"/>
        </w:sectPr>
      </w:pPr>
    </w:p>
    <w:p>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举报电话：5705656或5701606；举报邮箱：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4"/>
          <w:rFonts w:hint="eastAsia"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widowControl/>
        <w:spacing w:line="360" w:lineRule="auto"/>
        <w:ind w:firstLine="482" w:firstLineChars="201"/>
        <w:jc w:val="left"/>
        <w:rPr>
          <w:rFonts w:hint="eastAsia" w:ascii="宋体" w:hAnsi="宋体" w:eastAsia="宋体" w:cs="宋体"/>
          <w:color w:val="auto"/>
          <w:sz w:val="24"/>
          <w:szCs w:val="24"/>
          <w:highlight w:val="none"/>
        </w:rPr>
      </w:pP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pPr>
        <w:pStyle w:val="16"/>
        <w:spacing w:line="360" w:lineRule="auto"/>
        <w:jc w:val="center"/>
        <w:rPr>
          <w:rFonts w:hint="eastAsia" w:hAnsi="宋体" w:eastAsia="宋体" w:cs="宋体"/>
          <w:color w:val="auto"/>
          <w:sz w:val="24"/>
          <w:szCs w:val="24"/>
          <w:highlight w:val="none"/>
        </w:rPr>
      </w:pPr>
    </w:p>
    <w:p>
      <w:pPr>
        <w:pStyle w:val="16"/>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资格承诺函</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w:t>
      </w:r>
      <w:r>
        <w:rPr>
          <w:rFonts w:hint="eastAsia" w:ascii="宋体" w:hAnsi="宋体" w:cs="宋体"/>
          <w:i/>
          <w:color w:val="auto"/>
          <w:sz w:val="24"/>
          <w:szCs w:val="24"/>
          <w:highlight w:val="none"/>
          <w:u w:val="single"/>
          <w:lang w:eastAsia="zh-CN"/>
        </w:rPr>
        <w:t>采购单位</w:t>
      </w:r>
      <w:r>
        <w:rPr>
          <w:rFonts w:hint="eastAsia" w:ascii="宋体" w:hAnsi="宋体" w:eastAsia="宋体" w:cs="宋体"/>
          <w:i/>
          <w:color w:val="auto"/>
          <w:sz w:val="24"/>
          <w:szCs w:val="24"/>
          <w:highlight w:val="none"/>
          <w:u w:val="single"/>
        </w:rPr>
        <w:t>、采购代理机构）</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项目名称</w:t>
      </w:r>
      <w:r>
        <w:rPr>
          <w:rFonts w:hint="eastAsia" w:ascii="宋体" w:hAnsi="宋体" w:eastAsia="宋体" w:cs="宋体"/>
          <w:color w:val="auto"/>
          <w:sz w:val="24"/>
          <w:szCs w:val="24"/>
          <w:highlight w:val="none"/>
          <w:u w:val="single"/>
        </w:rPr>
        <w:t>）  （项目编号：    ）</w:t>
      </w:r>
      <w:r>
        <w:rPr>
          <w:rFonts w:hint="eastAsia" w:ascii="宋体" w:hAnsi="宋体" w:eastAsia="宋体" w:cs="宋体"/>
          <w:color w:val="auto"/>
          <w:sz w:val="24"/>
          <w:szCs w:val="24"/>
          <w:highlight w:val="none"/>
        </w:rPr>
        <w:t>项目的政府采购活动，现承诺如下：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1.我单位具有符合采购文件资格要求的财务状况报告。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2.我单位具有符合采购文件资格要求的依法缴纳税收的相关证明材料。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3.我单位具有符合采购文件资格要求的依法缴纳社会保障资金的相关证明材料。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若我单位承诺不实，自愿承担提供虚假材料谋取中标、成交的法律责任。</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承诺投标人（全称并加盖公章）：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单位负责人或授权代表（签字）：</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 投标人可自行选择是否提供本承诺函，若不提供本承诺函的，应按采购文件要求提供相应的证明材料。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投标人可删减承诺事项，如删去承诺第1项的，则应按采购文件要求提供财务状况报告。</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附件：格式四表一注及资信证明</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附件1财务审计(会计)报告中的四表</w:t>
      </w:r>
      <w:bookmarkStart w:id="8" w:name="_Hlt448395085"/>
      <w:bookmarkStart w:id="9" w:name="_Hlt448395086"/>
      <w:r>
        <w:rPr>
          <w:rFonts w:hint="eastAsia" w:ascii="宋体" w:hAnsi="宋体" w:eastAsia="宋体" w:cs="宋体"/>
          <w:color w:val="auto"/>
          <w:sz w:val="24"/>
          <w:szCs w:val="24"/>
          <w:highlight w:val="none"/>
        </w:rPr>
        <w:t>一</w:t>
      </w:r>
      <w:bookmarkEnd w:id="8"/>
      <w:bookmarkEnd w:id="9"/>
      <w:r>
        <w:rPr>
          <w:rFonts w:hint="eastAsia" w:ascii="宋体" w:hAnsi="宋体" w:eastAsia="宋体" w:cs="宋体"/>
          <w:color w:val="auto"/>
          <w:sz w:val="24"/>
          <w:szCs w:val="24"/>
          <w:highlight w:val="none"/>
        </w:rPr>
        <w:t>注(即资产负债表、利润表、现金流量表、所有者权益变动表及其附注（附注没有固定格式。附注是对资产负债表、利润表、现金流量表和所有者权益变动表等报表中列示项目的文字描述或明细资料，以及对未能在这些报表中列示项目的说明等。附注是财务报表不可或缺的组成部分。）)</w:t>
      </w:r>
    </w:p>
    <w:p>
      <w:pPr>
        <w:spacing w:line="360" w:lineRule="auto"/>
        <w:ind w:left="1321"/>
        <w:rPr>
          <w:rFonts w:hint="eastAsia" w:ascii="宋体" w:hAnsi="宋体" w:eastAsia="宋体" w:cs="宋体"/>
          <w:color w:val="auto"/>
          <w:sz w:val="24"/>
          <w:szCs w:val="24"/>
          <w:highlight w:val="none"/>
        </w:rPr>
      </w:pPr>
    </w:p>
    <w:tbl>
      <w:tblPr>
        <w:tblStyle w:val="10"/>
        <w:tblW w:w="0" w:type="auto"/>
        <w:tblInd w:w="94" w:type="dxa"/>
        <w:tblLayout w:type="fixed"/>
        <w:tblCellMar>
          <w:top w:w="0" w:type="dxa"/>
          <w:left w:w="108" w:type="dxa"/>
          <w:bottom w:w="0" w:type="dxa"/>
          <w:right w:w="108" w:type="dxa"/>
        </w:tblCellMar>
      </w:tblPr>
      <w:tblGrid>
        <w:gridCol w:w="3558"/>
        <w:gridCol w:w="1134"/>
        <w:gridCol w:w="1418"/>
        <w:gridCol w:w="1134"/>
        <w:gridCol w:w="3118"/>
        <w:gridCol w:w="1418"/>
        <w:gridCol w:w="1134"/>
        <w:gridCol w:w="1417"/>
      </w:tblGrid>
      <w:tr>
        <w:tblPrEx>
          <w:tblCellMar>
            <w:top w:w="0" w:type="dxa"/>
            <w:left w:w="108" w:type="dxa"/>
            <w:bottom w:w="0" w:type="dxa"/>
            <w:right w:w="108" w:type="dxa"/>
          </w:tblCellMar>
        </w:tblPrEx>
        <w:trPr>
          <w:trHeight w:val="60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0" w:name="RANGE!A1:H65"/>
            <w:r>
              <w:rPr>
                <w:rFonts w:hint="eastAsia" w:ascii="宋体" w:hAnsi="宋体" w:eastAsia="宋体" w:cs="宋体"/>
                <w:b/>
                <w:bCs/>
                <w:color w:val="auto"/>
                <w:kern w:val="0"/>
                <w:sz w:val="24"/>
                <w:szCs w:val="24"/>
                <w:highlight w:val="none"/>
              </w:rPr>
              <w:t>资 产 负 债 表</w:t>
            </w:r>
            <w:bookmarkEnd w:id="10"/>
          </w:p>
        </w:tc>
      </w:tr>
      <w:tr>
        <w:tblPrEx>
          <w:tblCellMar>
            <w:top w:w="0" w:type="dxa"/>
            <w:left w:w="108" w:type="dxa"/>
            <w:bottom w:w="0" w:type="dxa"/>
            <w:right w:w="108" w:type="dxa"/>
          </w:tblCellMar>
        </w:tblPrEx>
        <w:trPr>
          <w:trHeight w:val="33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年12月31日</w:t>
            </w:r>
          </w:p>
        </w:tc>
      </w:tr>
      <w:tr>
        <w:tblPrEx>
          <w:tblCellMar>
            <w:top w:w="0" w:type="dxa"/>
            <w:left w:w="108" w:type="dxa"/>
            <w:bottom w:w="0" w:type="dxa"/>
            <w:right w:w="108" w:type="dxa"/>
          </w:tblCellMar>
        </w:tblPrEx>
        <w:trPr>
          <w:trHeight w:val="45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流动资产：</w:t>
            </w:r>
          </w:p>
        </w:tc>
        <w:tc>
          <w:tcPr>
            <w:tcW w:w="1134" w:type="dxa"/>
            <w:tcBorders>
              <w:top w:val="nil"/>
              <w:left w:val="nil"/>
              <w:bottom w:val="single" w:color="auto" w:sz="4" w:space="0"/>
              <w:right w:val="single" w:color="auto" w:sz="4" w:space="0"/>
            </w:tcBorders>
            <w:noWrap/>
            <w:vAlign w:val="center"/>
          </w:tcPr>
          <w:p>
            <w:pPr>
              <w:widowControl/>
              <w:tabs>
                <w:tab w:val="left" w:pos="261"/>
              </w:tabs>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货币资金</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短期借款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应收票据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应付票据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应收账款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应付账款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七、10</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预付款项</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七、3</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预收款项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七、11</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应收利息</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应收股利</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其中：应付工资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七、4</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应付福利费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存货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七、5</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应交税费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其中：原材料</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其中：应交税金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库存商品（产成品）</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应付利息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应付股利</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七、14</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七、15</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七、6</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可供出售金融资产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持有至到期投资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应付债券</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长期股权投资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投资性房地产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固定资产原价</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预计负债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减：累计折旧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固定资产净值</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减：固定资产减值准备</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其中：特准储备基金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在建工程</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工程物资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 债 合 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固定资产清理</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生产性生物资产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油气资产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国有资本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无形资产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其中：国有法人资本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开发支出</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集体资本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商誉</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民营资本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长期待摊费用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七、8</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其中：个人资本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七、9</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外商资本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#减：已归还投资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实收资本（或股本）净额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其他权益工具</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其中：优先股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永续债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资本公积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减：库存股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其他综合收益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其中：外币报表折算差额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专项储备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盈余公积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△一般风险准备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未分配利润</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归属于母公司所有者权益合计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9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少数股东权益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95"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  产  总  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负债和所有者权益总计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tbl>
      <w:tblPr>
        <w:tblStyle w:val="10"/>
        <w:tblW w:w="0" w:type="auto"/>
        <w:tblInd w:w="94" w:type="dxa"/>
        <w:tblLayout w:type="fixed"/>
        <w:tblCellMar>
          <w:top w:w="0" w:type="dxa"/>
          <w:left w:w="108" w:type="dxa"/>
          <w:bottom w:w="0" w:type="dxa"/>
          <w:right w:w="108" w:type="dxa"/>
        </w:tblCellMar>
      </w:tblPr>
      <w:tblGrid>
        <w:gridCol w:w="10027"/>
        <w:gridCol w:w="727"/>
        <w:gridCol w:w="988"/>
        <w:gridCol w:w="2589"/>
      </w:tblGrid>
      <w:tr>
        <w:tblPrEx>
          <w:tblCellMar>
            <w:top w:w="0" w:type="dxa"/>
            <w:left w:w="108" w:type="dxa"/>
            <w:bottom w:w="0" w:type="dxa"/>
            <w:right w:w="108" w:type="dxa"/>
          </w:tblCellMar>
        </w:tblPrEx>
        <w:trPr>
          <w:trHeight w:val="60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1" w:name="RANGE!A1:D54"/>
            <w:r>
              <w:rPr>
                <w:rFonts w:hint="eastAsia" w:ascii="宋体" w:hAnsi="宋体" w:eastAsia="宋体" w:cs="宋体"/>
                <w:b/>
                <w:bCs/>
                <w:color w:val="auto"/>
                <w:kern w:val="0"/>
                <w:sz w:val="24"/>
                <w:szCs w:val="24"/>
                <w:highlight w:val="none"/>
              </w:rPr>
              <w:t>利 润 表</w:t>
            </w:r>
            <w:bookmarkEnd w:id="11"/>
          </w:p>
        </w:tc>
      </w:tr>
      <w:tr>
        <w:tblPrEx>
          <w:tblCellMar>
            <w:top w:w="0" w:type="dxa"/>
            <w:left w:w="108" w:type="dxa"/>
            <w:bottom w:w="0" w:type="dxa"/>
            <w:right w:w="108" w:type="dxa"/>
          </w:tblCellMar>
        </w:tblPrEx>
        <w:trPr>
          <w:trHeight w:val="36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98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58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一、营业总收入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二、营业总成本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营业税金及附加</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七、19</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管理费用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其中：研究与开发费</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财务费用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七、20</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其中：利息支出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利息收入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汇兑净损失（净收益以“－”号填列）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资产减值损失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七、21</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加：公允价值变动收益（损失以“－”号填列）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其中：对联营企业和合营企业的投资收益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三、营业利润</w:t>
            </w:r>
            <w:r>
              <w:rPr>
                <w:rFonts w:hint="eastAsia" w:ascii="宋体" w:hAnsi="宋体" w:eastAsia="宋体" w:cs="宋体"/>
                <w:color w:val="auto"/>
                <w:kern w:val="0"/>
                <w:sz w:val="24"/>
                <w:szCs w:val="24"/>
                <w:highlight w:val="none"/>
              </w:rPr>
              <w:t>（亏损以“－”号填列）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加：营业外收入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七、22</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政府补助</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减：营业外支出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七、23</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四、利润总额</w:t>
            </w:r>
            <w:r>
              <w:rPr>
                <w:rFonts w:hint="eastAsia" w:ascii="宋体" w:hAnsi="宋体" w:eastAsia="宋体" w:cs="宋体"/>
                <w:color w:val="auto"/>
                <w:kern w:val="0"/>
                <w:sz w:val="24"/>
                <w:szCs w:val="24"/>
                <w:highlight w:val="none"/>
              </w:rPr>
              <w:t>（亏损总额以“－”号填列）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减：所得税费用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七、24</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五、净利润</w:t>
            </w:r>
            <w:r>
              <w:rPr>
                <w:rFonts w:hint="eastAsia" w:ascii="宋体" w:hAnsi="宋体" w:eastAsia="宋体" w:cs="宋体"/>
                <w:color w:val="auto"/>
                <w:kern w:val="0"/>
                <w:sz w:val="24"/>
                <w:szCs w:val="24"/>
                <w:highlight w:val="none"/>
              </w:rPr>
              <w:t>（净亏损以“－”号填列）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归属于母公司所有者的净利润</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六、其他综合收益的税后净额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（一）以后不能重分类进损益的其他综合收益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其中：1.重新计量设定受益计划净负债或净资产的变动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2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2.权益法下在被投资单位不能重分类进损益的其他综合收益中享有的份额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（二）以后将重分类进损益的其他综合收益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75"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其中：1.权益法下在被投资单位以后将重分类进损益的其他综合收益中享有的份额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2.可供出售金融资产公允价值变动损益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9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3.持有至到期投资重分类为可供出售金融资产损益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4.现金流量套期损益的有效部分</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5.外币财务报表折算差额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七、综合收益总额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八、每股收益：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基本每股收益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稀释每股收益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bottom"/>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rPr>
              <w:t>表中带*科目为合并会计报表专业；</w:t>
            </w:r>
            <w:r>
              <w:rPr>
                <w:rFonts w:hint="eastAsia" w:ascii="宋体" w:hAnsi="宋体" w:eastAsia="宋体" w:cs="宋体"/>
                <w:color w:val="auto"/>
                <w:kern w:val="0"/>
                <w:sz w:val="24"/>
                <w:szCs w:val="24"/>
                <w:highlight w:val="none"/>
              </w:rPr>
              <w:t>加△项目为金融类企业专用。</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tbl>
      <w:tblPr>
        <w:tblStyle w:val="10"/>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3"/>
        <w:gridCol w:w="669"/>
        <w:gridCol w:w="358"/>
        <w:gridCol w:w="1396"/>
        <w:gridCol w:w="89"/>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331" w:type="dxa"/>
            <w:gridSpan w:val="7"/>
            <w:noWrap/>
            <w:vAlign w:val="center"/>
          </w:tcPr>
          <w:p>
            <w:pPr>
              <w:widowControl/>
              <w:spacing w:line="360" w:lineRule="auto"/>
              <w:jc w:val="center"/>
              <w:rPr>
                <w:rFonts w:hint="eastAsia" w:ascii="宋体" w:hAnsi="宋体" w:eastAsia="宋体" w:cs="宋体"/>
                <w:bCs/>
                <w:color w:val="auto"/>
                <w:kern w:val="0"/>
                <w:sz w:val="24"/>
                <w:szCs w:val="24"/>
                <w:highlight w:val="none"/>
              </w:rPr>
            </w:pPr>
            <w:bookmarkStart w:id="12" w:name="RANGE!A1:D47"/>
            <w:r>
              <w:rPr>
                <w:rFonts w:hint="eastAsia" w:ascii="宋体" w:hAnsi="宋体" w:eastAsia="宋体" w:cs="宋体"/>
                <w:bCs/>
                <w:color w:val="auto"/>
                <w:kern w:val="0"/>
                <w:sz w:val="24"/>
                <w:szCs w:val="24"/>
                <w:highlight w:val="none"/>
              </w:rPr>
              <w:t>现 金 流 量 表</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95" w:type="dxa"/>
            <w:gridSpan w:val="5"/>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559"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977"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一、经营活动产生的现金流量：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销售商品、提供劳务收到的现金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收到的税费返还</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购买商品、接受劳务支付的现金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支付给职工以及为职工支付的现金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支付的各项税费</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经营活动产生的现金流量净额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二、投资活动产生的现金流量：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收回投资收到的现金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取得投资收益收到的现金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处置固定资产、无形资产和其他长期资产所收回的现金净额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处置子公司及其他营业单位收回的现金净额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购建固定资产、无形资产和其他长期资产所支付的现金</w:t>
            </w: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取得子公司及其他营业单位支付的现金净额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投资活动产生的现金流量净额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三、筹资活动产生的现金流量：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吸收投资收到的现金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其中：子公司吸收少数股东投资收到的现金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取得借款所收到的现金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偿还债务所支付的现金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分配股利、利润或偿付利息所支付的现金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其中：子公司支付给少数股东的股利、利润</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筹资活动产生的现金流量净额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auto" w:fill="auto"/>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四、汇率变动对现金及现金等价物的影响</w:t>
            </w:r>
          </w:p>
        </w:tc>
        <w:tc>
          <w:tcPr>
            <w:tcW w:w="1843" w:type="dxa"/>
            <w:gridSpan w:val="3"/>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shd w:val="clear" w:color="000000" w:fill="FFFF00"/>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五、现金及现金等价物净增加额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加：期初现金及现金等价物余额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六、期末现金及现金等价物余额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企业负责人：                主管会计工作负责人：              会计机构负责人：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06" w:type="dxa"/>
            <w:gridSpan w:val="4"/>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注：加△楷体项目为金融类企业专用。</w:t>
            </w: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bl>
    <w:p>
      <w:pPr>
        <w:spacing w:line="360" w:lineRule="auto"/>
        <w:ind w:left="1321"/>
        <w:rPr>
          <w:rFonts w:hint="eastAsia" w:ascii="宋体" w:hAnsi="宋体" w:eastAsia="宋体" w:cs="宋体"/>
          <w:color w:val="auto"/>
          <w:sz w:val="24"/>
          <w:szCs w:val="24"/>
          <w:highlight w:val="none"/>
        </w:rPr>
      </w:pPr>
    </w:p>
    <w:p>
      <w:pPr>
        <w:spacing w:line="360" w:lineRule="auto"/>
        <w:ind w:left="1321"/>
        <w:rPr>
          <w:rFonts w:hint="eastAsia" w:ascii="宋体" w:hAnsi="宋体" w:eastAsia="宋体" w:cs="宋体"/>
          <w:color w:val="auto"/>
          <w:sz w:val="24"/>
          <w:szCs w:val="24"/>
          <w:highlight w:val="none"/>
        </w:rPr>
      </w:pPr>
    </w:p>
    <w:tbl>
      <w:tblPr>
        <w:tblStyle w:val="10"/>
        <w:tblW w:w="0" w:type="auto"/>
        <w:tblInd w:w="94" w:type="dxa"/>
        <w:tblLayout w:type="fixed"/>
        <w:tblCellMar>
          <w:top w:w="0" w:type="dxa"/>
          <w:left w:w="108" w:type="dxa"/>
          <w:bottom w:w="0" w:type="dxa"/>
          <w:right w:w="108" w:type="dxa"/>
        </w:tblCellMar>
      </w:tblPr>
      <w:tblGrid>
        <w:gridCol w:w="3700"/>
        <w:gridCol w:w="709"/>
        <w:gridCol w:w="425"/>
        <w:gridCol w:w="780"/>
        <w:gridCol w:w="406"/>
        <w:gridCol w:w="660"/>
        <w:gridCol w:w="396"/>
        <w:gridCol w:w="414"/>
        <w:gridCol w:w="451"/>
        <w:gridCol w:w="426"/>
        <w:gridCol w:w="461"/>
        <w:gridCol w:w="396"/>
        <w:gridCol w:w="443"/>
        <w:gridCol w:w="434"/>
        <w:gridCol w:w="396"/>
        <w:gridCol w:w="396"/>
        <w:gridCol w:w="606"/>
        <w:gridCol w:w="396"/>
        <w:gridCol w:w="396"/>
        <w:gridCol w:w="400"/>
        <w:gridCol w:w="396"/>
        <w:gridCol w:w="401"/>
        <w:gridCol w:w="396"/>
        <w:gridCol w:w="396"/>
      </w:tblGrid>
      <w:tr>
        <w:tblPrEx>
          <w:tblCellMar>
            <w:top w:w="0" w:type="dxa"/>
            <w:left w:w="108" w:type="dxa"/>
            <w:bottom w:w="0" w:type="dxa"/>
            <w:right w:w="108" w:type="dxa"/>
          </w:tblCellMar>
        </w:tblPrEx>
        <w:trPr>
          <w:trHeight w:val="60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tabs>
                <w:tab w:val="left" w:pos="14917"/>
              </w:tabs>
              <w:spacing w:line="360" w:lineRule="auto"/>
              <w:jc w:val="center"/>
              <w:rPr>
                <w:rFonts w:hint="eastAsia" w:ascii="宋体" w:hAnsi="宋体" w:eastAsia="宋体" w:cs="宋体"/>
                <w:b/>
                <w:bCs/>
                <w:color w:val="auto"/>
                <w:kern w:val="0"/>
                <w:sz w:val="24"/>
                <w:szCs w:val="24"/>
                <w:highlight w:val="none"/>
              </w:rPr>
            </w:pPr>
            <w:bookmarkStart w:id="13" w:name="RANGE!A1:X29"/>
            <w:r>
              <w:rPr>
                <w:rFonts w:hint="eastAsia" w:ascii="宋体" w:hAnsi="宋体" w:eastAsia="宋体" w:cs="宋体"/>
                <w:b/>
                <w:bCs/>
                <w:color w:val="auto"/>
                <w:kern w:val="0"/>
                <w:sz w:val="24"/>
                <w:szCs w:val="24"/>
                <w:highlight w:val="none"/>
              </w:rPr>
              <w:t>所有者权益变动表</w:t>
            </w:r>
            <w:bookmarkEnd w:id="13"/>
          </w:p>
        </w:tc>
      </w:tr>
      <w:tr>
        <w:tblPrEx>
          <w:tblCellMar>
            <w:top w:w="0" w:type="dxa"/>
            <w:left w:w="108" w:type="dxa"/>
            <w:bottom w:w="0" w:type="dxa"/>
            <w:right w:w="108" w:type="dxa"/>
          </w:tblCellMar>
        </w:tblPrEx>
        <w:trPr>
          <w:trHeight w:val="36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51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3700"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09"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行次</w:t>
            </w:r>
          </w:p>
        </w:tc>
        <w:tc>
          <w:tcPr>
            <w:tcW w:w="5258"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4613"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1080" w:hRule="atLeast"/>
        </w:trPr>
        <w:tc>
          <w:tcPr>
            <w:tcW w:w="370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78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4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6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41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5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42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准备</w:t>
            </w:r>
          </w:p>
        </w:tc>
        <w:tc>
          <w:tcPr>
            <w:tcW w:w="46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443"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c>
          <w:tcPr>
            <w:tcW w:w="43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0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△一般风险准备</w:t>
            </w:r>
          </w:p>
        </w:tc>
        <w:tc>
          <w:tcPr>
            <w:tcW w:w="40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            次</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425"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8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6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1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45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42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46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43"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4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6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0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0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一、上年年末余额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加：会计政策变更</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前期差错更正</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二、本年年初余额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2.使用专项储备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（四）利润分配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1.提取盈余公积</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2.提取一般风险准备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3.对所有者（或股东）的分配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（五）所有者权益内部结转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1.资本公积转增资本（或股本）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2.盈余公积转增资本（或股本）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3.盈余公积弥补亏损</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555" w:hRule="atLeast"/>
        </w:trPr>
        <w:tc>
          <w:tcPr>
            <w:tcW w:w="3700"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 结转重新计量设定受益计划净负债或净资产所产生的变动</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四、本年年末余额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14280" w:type="dxa"/>
            <w:gridSpan w:val="24"/>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注：带#为外商投资企业专用，加△楷体项目为金融类企业专用。</w:t>
            </w:r>
          </w:p>
        </w:tc>
      </w:tr>
    </w:tbl>
    <w:p>
      <w:pPr>
        <w:spacing w:line="360" w:lineRule="auto"/>
        <w:ind w:left="1321"/>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sectPr>
          <w:pgSz w:w="16838" w:h="11906" w:orient="landscape"/>
          <w:pgMar w:top="1800" w:right="1440" w:bottom="1800" w:left="1440" w:header="851" w:footer="992" w:gutter="0"/>
          <w:cols w:space="720" w:num="1"/>
          <w:docGrid w:type="lines" w:linePitch="312" w:charSpace="0"/>
        </w:sect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附件2资信证明</w:t>
      </w: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资信证明</w:t>
      </w:r>
    </w:p>
    <w:p>
      <w:pPr>
        <w:spacing w:line="360" w:lineRule="auto"/>
        <w:ind w:right="480" w:firstLine="5880" w:firstLineChars="2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编号：        </w:t>
      </w:r>
    </w:p>
    <w:p>
      <w:pPr>
        <w:spacing w:line="360" w:lineRule="auto"/>
        <w:jc w:val="left"/>
        <w:rPr>
          <w:rFonts w:hint="eastAsia" w:ascii="宋体" w:hAnsi="宋体" w:eastAsia="宋体" w:cs="宋体"/>
          <w:color w:val="auto"/>
          <w:sz w:val="24"/>
          <w:szCs w:val="24"/>
          <w:highlight w:val="none"/>
        </w:rPr>
      </w:pP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XXXXX有限公司成立于    年  月，注册资本为人民币X拾X亿X仟X佰X拾X万X仟X佰X拾X元整。</w:t>
      </w: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该公司在我行开有人民币基本账户，直至目前为止，其账户往来正常，无不良记录。其一直与我行保持良好的合作关系，未发现不正常情况。</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特此证明。</w:t>
      </w:r>
    </w:p>
    <w:p>
      <w:pPr>
        <w:spacing w:line="360" w:lineRule="auto"/>
        <w:ind w:left="0" w:leftChars="0" w:right="480"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X银行股份有限公司 </w:t>
      </w:r>
    </w:p>
    <w:p>
      <w:pPr>
        <w:spacing w:line="360" w:lineRule="auto"/>
        <w:ind w:left="6240" w:hanging="6240" w:hangingChars="2600"/>
        <w:rPr>
          <w:rStyle w:val="12"/>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pPr>
        <w:spacing w:line="360" w:lineRule="auto"/>
        <w:ind w:firstLine="480" w:firstLineChars="200"/>
        <w:rPr>
          <w:rFonts w:hint="eastAsia" w:ascii="宋体" w:hAnsi="宋体" w:eastAsia="宋体" w:cs="宋体"/>
          <w:color w:val="auto"/>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before="0" w:beforeAutospacing="0" w:after="0" w:afterAutospacing="0" w:line="360" w:lineRule="auto"/>
        <w:rPr>
          <w:rFonts w:hint="eastAsia" w:eastAsia="宋体"/>
          <w:color w:val="auto"/>
          <w:kern w:val="2"/>
          <w:sz w:val="24"/>
          <w:szCs w:val="24"/>
          <w:highlight w:val="none"/>
        </w:rPr>
      </w:pPr>
    </w:p>
    <w:p>
      <w:pPr>
        <w:pStyle w:val="9"/>
        <w:spacing w:line="360" w:lineRule="auto"/>
        <w:ind w:firstLine="4800" w:firstLineChars="1500"/>
        <w:rPr>
          <w:rFonts w:hint="eastAsia" w:eastAsia="宋体"/>
          <w:color w:val="auto"/>
          <w:kern w:val="2"/>
          <w:sz w:val="32"/>
          <w:szCs w:val="32"/>
          <w:highlight w:val="none"/>
        </w:rPr>
      </w:pPr>
    </w:p>
    <w:p>
      <w:pPr>
        <w:pStyle w:val="9"/>
        <w:spacing w:line="360" w:lineRule="auto"/>
        <w:ind w:firstLine="4800" w:firstLineChars="1500"/>
        <w:rPr>
          <w:rFonts w:hint="eastAsia" w:eastAsia="宋体"/>
          <w:color w:val="auto"/>
          <w:kern w:val="2"/>
          <w:sz w:val="32"/>
          <w:szCs w:val="32"/>
          <w:highlight w:val="none"/>
        </w:rPr>
      </w:pPr>
    </w:p>
    <w:p>
      <w:pPr>
        <w:pStyle w:val="9"/>
        <w:spacing w:line="360" w:lineRule="auto"/>
        <w:ind w:firstLine="4800" w:firstLineChars="1500"/>
        <w:rPr>
          <w:rFonts w:hint="eastAsia" w:eastAsia="宋体"/>
          <w:color w:val="auto"/>
          <w:kern w:val="2"/>
          <w:sz w:val="32"/>
          <w:szCs w:val="32"/>
          <w:highlight w:val="none"/>
        </w:rPr>
      </w:pPr>
    </w:p>
    <w:p>
      <w:pPr>
        <w:pStyle w:val="9"/>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0"/>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r>
    </w:tbl>
    <w:p>
      <w:pPr>
        <w:widowControl/>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pStyle w:val="17"/>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pPr>
        <w:pStyle w:val="17"/>
        <w:spacing w:line="360" w:lineRule="auto"/>
        <w:ind w:firstLine="1687" w:firstLineChars="700"/>
        <w:jc w:val="both"/>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pPr>
              <w:pStyle w:val="17"/>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本采购包内属于节能、环境标志产品的报价情况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采购包</w:t>
            </w: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pPr>
              <w:pStyle w:val="17"/>
              <w:spacing w:line="360" w:lineRule="auto"/>
              <w:jc w:val="left"/>
              <w:rPr>
                <w:rFonts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采购包内属于节能、环境标志产品的报价总金额：</w:t>
            </w:r>
            <w:r>
              <w:rPr>
                <w:rFonts w:ascii="宋体" w:hAnsi="宋体" w:eastAsia="宋体" w:cs="宋体"/>
                <w:color w:val="auto"/>
                <w:sz w:val="24"/>
                <w:szCs w:val="24"/>
                <w:highlight w:val="none"/>
                <w:u w:val="single"/>
              </w:rPr>
              <w:t>　　　　　。</w:t>
            </w:r>
          </w:p>
        </w:tc>
      </w:tr>
    </w:tbl>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1、对节能、环境标志产品计算价格扣除时，只依据投标文件“1-②优先类节能产品、环境标志产品证明材料（价格扣除适用，若有）”。</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2、本表以采购包为单位，不同采购包请分别填写；同一采购包请按照其品目号顺序分别填写。</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cs="宋体"/>
          <w:color w:val="auto"/>
          <w:sz w:val="24"/>
          <w:szCs w:val="24"/>
          <w:highlight w:val="none"/>
          <w:lang w:eastAsia="zh-CN"/>
        </w:rPr>
        <w:t>同一品目中各同类认证证书不重复计算价格扣除</w:t>
      </w:r>
      <w:r>
        <w:rPr>
          <w:rFonts w:ascii="宋体" w:hAnsi="宋体" w:eastAsia="宋体" w:cs="宋体"/>
          <w:color w:val="auto"/>
          <w:sz w:val="24"/>
          <w:szCs w:val="24"/>
          <w:highlight w:val="none"/>
        </w:rPr>
        <w:t>。强制类节能产品不享受价格扣除。</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pPr>
        <w:pStyle w:val="17"/>
        <w:spacing w:line="360" w:lineRule="auto"/>
        <w:jc w:val="left"/>
        <w:rPr>
          <w:rFonts w:ascii="宋体" w:hAnsi="宋体" w:eastAsia="宋体" w:cs="宋体"/>
          <w:color w:val="auto"/>
          <w:sz w:val="24"/>
          <w:szCs w:val="24"/>
          <w:highlight w:val="none"/>
        </w:rPr>
      </w:pPr>
    </w:p>
    <w:p>
      <w:pPr>
        <w:pStyle w:val="17"/>
        <w:spacing w:line="360" w:lineRule="auto"/>
        <w:jc w:val="left"/>
        <w:rPr>
          <w:rFonts w:ascii="宋体" w:hAnsi="宋体" w:eastAsia="宋体" w:cs="宋体"/>
          <w:color w:val="auto"/>
          <w:sz w:val="24"/>
          <w:szCs w:val="24"/>
          <w:highlight w:val="none"/>
        </w:rPr>
      </w:pP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pPr>
        <w:pStyle w:val="17"/>
        <w:spacing w:line="360" w:lineRule="auto"/>
        <w:ind w:firstLine="480"/>
        <w:jc w:val="left"/>
        <w:rPr>
          <w:rFonts w:ascii="宋体" w:hAnsi="宋体" w:eastAsia="宋体" w:cs="宋体"/>
          <w:color w:val="auto"/>
          <w:sz w:val="24"/>
          <w:szCs w:val="24"/>
          <w:highlight w:val="none"/>
        </w:rPr>
      </w:pP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pPr>
        <w:spacing w:line="360" w:lineRule="auto"/>
        <w:rPr>
          <w:rFonts w:hint="eastAsia" w:ascii="宋体" w:hAnsi="宋体" w:eastAsia="宋体" w:cs="宋体"/>
          <w:color w:val="auto"/>
          <w:sz w:val="24"/>
          <w:szCs w:val="24"/>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2"/>
        <w:rPr>
          <w:rFonts w:hint="eastAsia" w:ascii="宋体" w:hAnsi="宋体" w:eastAsia="宋体" w:cs="宋体"/>
          <w:color w:val="auto"/>
          <w:kern w:val="0"/>
          <w:sz w:val="24"/>
          <w:szCs w:val="24"/>
          <w:highlight w:val="none"/>
          <w:lang w:eastAsia="zh-CN"/>
        </w:rPr>
      </w:pPr>
    </w:p>
    <w:p>
      <w:pPr>
        <w:rPr>
          <w:rFonts w:hint="eastAsia"/>
          <w:color w:val="auto"/>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pStyle w:val="4"/>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pPr>
        <w:pStyle w:val="2"/>
        <w:ind w:left="0" w:leftChars="0" w:firstLine="0" w:firstLineChars="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460"/>
        <w:tab w:val="clear" w:pos="8306"/>
      </w:tabs>
      <w:ind w:right="-89" w:firstLine="420"/>
      <w:jc w:val="center"/>
      <w:rPr>
        <w:rFonts w:ascii="宋体" w:hAnsi="宋体"/>
      </w:rPr>
    </w:pPr>
    <w:r>
      <w:rPr>
        <w:rFonts w:ascii="宋体" w:hAnsi="宋体"/>
        <w:szCs w:val="20"/>
      </w:rPr>
      <w:t xml:space="preserve"> 2-</w:t>
    </w:r>
    <w:r>
      <w:rPr>
        <w:rStyle w:val="13"/>
        <w:rFonts w:ascii="宋体" w:hAnsi="宋体"/>
        <w:szCs w:val="20"/>
      </w:rPr>
      <w:t>2-</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460"/>
        <w:tab w:val="clear" w:pos="8306"/>
      </w:tabs>
      <w:ind w:right="-89" w:firstLine="420"/>
      <w:jc w:val="center"/>
      <w:rPr>
        <w:rFonts w:ascii="宋体" w:hAnsi="宋体"/>
      </w:rPr>
    </w:pPr>
    <w:r>
      <w:rPr>
        <w:rFonts w:ascii="宋体" w:hAnsi="宋体"/>
      </w:rPr>
      <w:t xml:space="preserve"> 5</w:t>
    </w:r>
    <w:r>
      <w:rPr>
        <w:rStyle w:val="13"/>
        <w:rFonts w:ascii="宋体" w:hAnsi="宋体"/>
      </w:rPr>
      <w:t>-</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0DD5748"/>
    <w:rsid w:val="1EB74B78"/>
    <w:rsid w:val="263F63D5"/>
    <w:rsid w:val="39A41FA1"/>
    <w:rsid w:val="450A0C5F"/>
    <w:rsid w:val="52D62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ind w:left="420" w:leftChars="200"/>
    </w:pPr>
  </w:style>
  <w:style w:type="paragraph" w:styleId="5">
    <w:name w:val="Normal Indent"/>
    <w:basedOn w:val="1"/>
    <w:qFormat/>
    <w:uiPriority w:val="0"/>
    <w:pPr>
      <w:ind w:firstLine="420"/>
    </w:pPr>
    <w:rPr>
      <w:rFonts w:ascii="Times New Roman" w:hAnsi="Times New Roman"/>
      <w:szCs w:val="20"/>
    </w:rPr>
  </w:style>
  <w:style w:type="paragraph" w:styleId="6">
    <w:name w:val="Plain Text"/>
    <w:basedOn w:val="1"/>
    <w:qFormat/>
    <w:uiPriority w:val="0"/>
    <w:rPr>
      <w:rFonts w:ascii="宋体" w:hAnsi="Courier New"/>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basedOn w:val="11"/>
    <w:qFormat/>
    <w:uiPriority w:val="22"/>
    <w:rPr>
      <w:b/>
      <w:bCs/>
    </w:rPr>
  </w:style>
  <w:style w:type="character" w:styleId="13">
    <w:name w:val="page number"/>
    <w:basedOn w:val="11"/>
    <w:qFormat/>
    <w:uiPriority w:val="0"/>
  </w:style>
  <w:style w:type="character" w:styleId="14">
    <w:name w:val="Hyperlink"/>
    <w:basedOn w:val="11"/>
    <w:unhideWhenUsed/>
    <w:qFormat/>
    <w:uiPriority w:val="99"/>
    <w:rPr>
      <w:color w:val="0000FF"/>
      <w:u w:val="single"/>
    </w:rPr>
  </w:style>
  <w:style w:type="paragraph" w:customStyle="1" w:styleId="1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样式3"/>
    <w:basedOn w:val="6"/>
    <w:autoRedefine/>
    <w:qFormat/>
    <w:uiPriority w:val="0"/>
    <w:pPr>
      <w:spacing w:line="0" w:lineRule="atLeast"/>
      <w:outlineLvl w:val="0"/>
    </w:pPr>
    <w:rPr>
      <w:sz w:val="28"/>
    </w:rPr>
  </w:style>
  <w:style w:type="paragraph" w:customStyle="1" w:styleId="17">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2024-06-04T07:58:13Z</dcterms:created>
  <dc:creator>user</dc:creator>
  <cp:lastModifiedBy>Richael</cp:lastModifiedBy>
  <dcterms:modified xsi:type="dcterms:W3CDTF">2024-06-04T07:59:36Z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D7A890ED9D7D4E63AF6BADE827B05D64_12</vt:lpwstr>
  </property>
</Properties>
</file>